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655" w:rsidRDefault="001B1655" w:rsidP="001B1655">
      <w:pPr>
        <w:pStyle w:val="Default"/>
        <w:ind w:right="-142"/>
        <w:jc w:val="right"/>
        <w:rPr>
          <w:b/>
          <w:bCs/>
          <w:sz w:val="22"/>
          <w:szCs w:val="22"/>
        </w:rPr>
      </w:pPr>
      <w:r>
        <w:rPr>
          <w:b/>
          <w:sz w:val="22"/>
        </w:rPr>
        <w:t>PR 05/2017</w:t>
      </w:r>
    </w:p>
    <w:p w:rsidR="00402DC6" w:rsidRPr="00A06A2F" w:rsidRDefault="001B1655" w:rsidP="00A06A2F">
      <w:pPr>
        <w:pStyle w:val="Default"/>
        <w:ind w:right="-142"/>
        <w:jc w:val="right"/>
        <w:rPr>
          <w:b/>
          <w:bCs/>
          <w:sz w:val="22"/>
          <w:szCs w:val="22"/>
        </w:rPr>
      </w:pPr>
      <w:r>
        <w:rPr>
          <w:b/>
          <w:sz w:val="22"/>
        </w:rPr>
        <w:t>5 iulie 2017</w:t>
      </w:r>
    </w:p>
    <w:p w:rsidR="00A06A2F" w:rsidRDefault="006C333F" w:rsidP="00A06A2F">
      <w:pPr>
        <w:pStyle w:val="Default"/>
        <w:ind w:right="-142"/>
        <w:jc w:val="both"/>
        <w:rPr>
          <w:rFonts w:asciiTheme="minorHAnsi" w:hAnsiTheme="minorHAnsi"/>
          <w:b/>
          <w:bCs/>
          <w:sz w:val="22"/>
          <w:szCs w:val="22"/>
          <w:u w:val="single"/>
        </w:rPr>
      </w:pPr>
    </w:p>
    <w:p w:rsidR="00402DC6" w:rsidRPr="00A06A2F" w:rsidRDefault="001B1655" w:rsidP="00A06A2F">
      <w:pPr>
        <w:pStyle w:val="Default"/>
        <w:ind w:right="-142"/>
        <w:jc w:val="both"/>
        <w:rPr>
          <w:rFonts w:asciiTheme="minorHAnsi" w:hAnsiTheme="minorHAnsi"/>
          <w:b/>
          <w:bCs/>
          <w:sz w:val="22"/>
          <w:szCs w:val="22"/>
        </w:rPr>
      </w:pPr>
      <w:r>
        <w:rPr>
          <w:rFonts w:asciiTheme="minorHAnsi" w:hAnsiTheme="minorHAnsi"/>
          <w:b/>
          <w:sz w:val="22"/>
          <w:u w:val="single"/>
        </w:rPr>
        <w:t>Comunicat de presă:</w:t>
      </w:r>
      <w:r>
        <w:rPr>
          <w:rFonts w:asciiTheme="minorHAnsi" w:hAnsiTheme="minorHAnsi"/>
          <w:b/>
          <w:sz w:val="22"/>
        </w:rPr>
        <w:t xml:space="preserve"> Raportul anual al EASO privind situația azilului în UE și ultimele cifre privind azilul</w:t>
      </w:r>
    </w:p>
    <w:p w:rsidR="00A06A2F" w:rsidRPr="00A06A2F" w:rsidRDefault="001B1655"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Biroul European de Sprijin pentru Azil (EASO) a publicat astăzi raportul său anual de referință: Raportul anual privind situația azilului în Uniunea Europeană pentru anul 2016. Raportul urmărește să ofere o prezentare generală cuprinzătoare a situației azilului în UE+ (statele membre ale UE plus Norvegia, Elveția, Islanda și Liechtenstein), examinând cererile de protecție internațională adresate Uniunii, analizând datele privind cererile și hotărârile, tendințele în materie de azil, inclusiv principalele provocări și răspunsuri din cursul anului, precum și evoluțiile instituționale și juridice majore, și oferind o imagine de ansamblu a funcționării în practică a sistemului european comun de azil (SECA).</w:t>
      </w:r>
      <w:r>
        <w:rPr>
          <w:rFonts w:asciiTheme="minorHAnsi" w:hAnsiTheme="minorHAnsi" w:cstheme="minorHAnsi"/>
          <w:sz w:val="22"/>
        </w:rPr>
        <w:t xml:space="preserve"> </w:t>
      </w:r>
    </w:p>
    <w:p w:rsidR="00402DC6" w:rsidRPr="00A06A2F" w:rsidRDefault="001B1655" w:rsidP="00AF70F9">
      <w:pPr>
        <w:pStyle w:val="DoNotTranslateExternal1"/>
      </w:pPr>
      <w:r>
        <w:t>**</w:t>
      </w:r>
    </w:p>
    <w:p w:rsidR="00A06A2F" w:rsidRPr="00A06A2F" w:rsidRDefault="001B1655" w:rsidP="00A06A2F">
      <w:pPr>
        <w:keepNext/>
        <w:keepLines/>
        <w:spacing w:after="120"/>
        <w:ind w:right="-144"/>
        <w:jc w:val="both"/>
        <w:rPr>
          <w:rFonts w:asciiTheme="minorHAnsi" w:hAnsiTheme="minorHAnsi"/>
          <w:sz w:val="22"/>
          <w:szCs w:val="22"/>
        </w:rPr>
      </w:pPr>
      <w:r>
        <w:rPr>
          <w:rFonts w:asciiTheme="minorHAnsi" w:hAnsiTheme="minorHAnsi"/>
          <w:sz w:val="22"/>
        </w:rPr>
        <w:t xml:space="preserve">În 2016 au fost depuse aproape 1,3 milioane de cereri de protecție internațională în UE+. Acest lucru a însemnat o scădere de 7% față de 2015, când au fost depuse aproape 1,4 milioane de cereri. Cu toate acestea, creșterea semnificativă a numărului de cereri de azil din ultimii doi ani a determinat un număr mult mai mare de hotărâri în primă instanță: în 2016, țările din UE+ au adoptat aproape 1,15 milioane de hotărâri în primă instanță, ceea ce a însemnat o creștere de 84% față de 2015. În 2016 a crescut și numărul de hotărâri adoptate în a doua instanță cu 21% față de 2015. Rata globală de recunoaștere a fost de 61% pentru hotărârile în primă instanță și a crescut față de anul precedent. </w:t>
      </w:r>
    </w:p>
    <w:p w:rsidR="005A3F47" w:rsidRPr="00A06A2F" w:rsidRDefault="001B1655"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Cele mai multe cereri de azil au fost depuse de cetățeni din Siria, Afganistan, Irak, Pakistan și Nigeria. Principalele țări-gazdă au fost Germania, Italia, Franța, Grecia și Austria. Numărul de solicitanți care așteptau o hotărâre definitivă privind cererea lor a fost mai mare cu 7% față de 2015, ceea ce a continuat să exercite presiune asupra sistemelor de azil și de primire din țările UE+. </w:t>
      </w:r>
    </w:p>
    <w:p w:rsidR="00055B51" w:rsidRPr="00A06A2F" w:rsidRDefault="001B1655"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Criza din Siria a continuat să fie un factor-cheie în ceea ce privește numărul cererilor de protecție internațională în UE+. Cetățenii din Siria au fost cei mai numeroși, reprezentând 26% din totalul solicitanților de azil din UE+.  </w:t>
      </w:r>
    </w:p>
    <w:p w:rsidR="005A3F47" w:rsidRPr="00A06A2F" w:rsidRDefault="001B1655"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În 2016, peste 65 000 de minori neînsoțiți au depus o cerere de protecție internațională în UE+, cu 37% mai puțini decât în anul precedent. Din totalul cererilor depuse de minori neînsoțiți în UE+, 37% au aparținut cetățenilor afgani.</w:t>
      </w:r>
    </w:p>
    <w:p w:rsidR="005A3F47" w:rsidRPr="00A06A2F" w:rsidRDefault="006C333F" w:rsidP="00A06A2F">
      <w:pPr>
        <w:pStyle w:val="Default"/>
        <w:ind w:right="-142"/>
        <w:jc w:val="both"/>
        <w:rPr>
          <w:rFonts w:asciiTheme="minorHAnsi" w:hAnsiTheme="minorHAnsi"/>
          <w:sz w:val="22"/>
          <w:szCs w:val="22"/>
        </w:rPr>
      </w:pPr>
    </w:p>
    <w:p w:rsidR="00402DC6" w:rsidRDefault="001B1655" w:rsidP="00A06A2F">
      <w:pPr>
        <w:ind w:right="-142"/>
        <w:jc w:val="both"/>
        <w:rPr>
          <w:rFonts w:asciiTheme="minorHAnsi" w:hAnsiTheme="minorHAnsi"/>
          <w:sz w:val="22"/>
        </w:rPr>
      </w:pPr>
      <w:r>
        <w:rPr>
          <w:rFonts w:asciiTheme="minorHAnsi" w:hAnsiTheme="minorHAnsi" w:cstheme="minorHAnsi"/>
          <w:b/>
          <w:sz w:val="22"/>
        </w:rPr>
        <w:t>Ultimele cifre</w:t>
      </w:r>
      <w:r>
        <w:rPr>
          <w:rFonts w:asciiTheme="minorHAnsi" w:hAnsiTheme="minorHAnsi"/>
          <w:sz w:val="22"/>
        </w:rPr>
        <w:t xml:space="preserve"> privind primele luni ale anului 2017 arată o scădere suplimentară a numărului de cereri de protecție internațională față de cifrele lunare raportate în 2016, în 2015 și în a doua jumătate a anului 2014. Însă cifrele din primele luni ale anului 2017 sunt încă mai mari decât cele din prima jumătate a anului 2014. Siria a rămas principala țară de origine a solicitanților înregistrați în UE+ în perioada ianuarie-mai 2017. Cu toate acestea, în perioada respectivă, cetățenii sirieni au reprezentat doar 13% din numărul total de solicitanți din UE+, o schimbare semnificativă față de anul precedent când, în medie, una din patru cereri a fost depusă de cetățeni sirieni. În primele patru luni din 2017, cetățenii din Siria și din alte trei țări de origine, Afganistan, Nigeria și Irak, au reprezentat aproape o treime din totalul solicitanților din UE+. Cetățenii afgani au continuat să aibă cea mai mare pondere în cadrul cererilor minorilor neînsoțiți. La sfârșitul lunii mai, peste 595 000 de cazuri a</w:t>
      </w:r>
      <w:bookmarkStart w:id="0" w:name="_GoBack"/>
      <w:bookmarkEnd w:id="0"/>
      <w:r>
        <w:rPr>
          <w:rFonts w:asciiTheme="minorHAnsi" w:hAnsiTheme="minorHAnsi"/>
          <w:sz w:val="22"/>
        </w:rPr>
        <w:t>șteptau adoptarea unei hotărâri în primă instanță, din care 59% așteptau de peste șase luni.</w:t>
      </w:r>
    </w:p>
    <w:p w:rsidR="00170A5E" w:rsidRPr="00A06A2F" w:rsidRDefault="00170A5E" w:rsidP="00A06A2F">
      <w:pPr>
        <w:ind w:right="-142"/>
        <w:jc w:val="both"/>
        <w:rPr>
          <w:rFonts w:asciiTheme="minorHAnsi" w:hAnsiTheme="minorHAnsi" w:cstheme="minorHAnsi"/>
          <w:sz w:val="22"/>
          <w:szCs w:val="22"/>
        </w:rPr>
      </w:pPr>
    </w:p>
    <w:p w:rsidR="005A3F47" w:rsidRPr="00A06A2F" w:rsidRDefault="001B1655" w:rsidP="00AF70F9">
      <w:pPr>
        <w:ind w:right="-142"/>
        <w:jc w:val="both"/>
        <w:rPr>
          <w:sz w:val="22"/>
          <w:szCs w:val="22"/>
        </w:rPr>
      </w:pPr>
      <w:r>
        <w:rPr>
          <w:rFonts w:asciiTheme="minorHAnsi" w:hAnsiTheme="minorHAnsi"/>
          <w:i/>
          <w:sz w:val="22"/>
        </w:rPr>
        <w:t xml:space="preserve">Puteți obține informații suplimentare cu privire la EASO adresându-vă dlui Jean-Pierre Schembri la următoarea adresă de e-mail: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(ne puteți urmări în direct pe </w:t>
      </w:r>
      <w:proofErr w:type="spellStart"/>
      <w:r>
        <w:rPr>
          <w:rFonts w:asciiTheme="minorHAnsi" w:hAnsiTheme="minorHAnsi"/>
          <w:i/>
          <w:sz w:val="22"/>
        </w:rPr>
        <w:t>Twitter</w:t>
      </w:r>
      <w:proofErr w:type="spellEnd"/>
      <w:r>
        <w:rPr>
          <w:rFonts w:asciiTheme="minorHAnsi" w:hAnsiTheme="minorHAnsi"/>
          <w:i/>
          <w:sz w:val="22"/>
        </w:rPr>
        <w:t xml:space="preserve">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rsidSect="00170A5E">
      <w:headerReference w:type="default" r:id="rId9"/>
      <w:footerReference w:type="default" r:id="rId1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33F" w:rsidRDefault="006C333F" w:rsidP="00170A5E">
      <w:r>
        <w:separator/>
      </w:r>
    </w:p>
  </w:endnote>
  <w:endnote w:type="continuationSeparator" w:id="0">
    <w:p w:rsidR="006C333F" w:rsidRDefault="006C333F" w:rsidP="001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E" w:rsidRPr="003A40EF" w:rsidRDefault="00170A5E" w:rsidP="00170A5E">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170A5E" w:rsidRPr="00170A5E" w:rsidRDefault="00170A5E" w:rsidP="00170A5E">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33F" w:rsidRDefault="006C333F" w:rsidP="00170A5E">
      <w:r>
        <w:separator/>
      </w:r>
    </w:p>
  </w:footnote>
  <w:footnote w:type="continuationSeparator" w:id="0">
    <w:p w:rsidR="006C333F" w:rsidRDefault="006C333F" w:rsidP="0017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E" w:rsidRDefault="00170A5E">
    <w:pPr>
      <w:pStyle w:val="Header"/>
    </w:pPr>
    <w:r>
      <w:rPr>
        <w:rFonts w:ascii="Calibri" w:hAnsi="Calibri" w:cs="Calibri"/>
        <w:noProof/>
        <w:sz w:val="22"/>
        <w:szCs w:val="22"/>
        <w:lang w:val="en-GB" w:eastAsia="en-GB" w:bidi="ar-SA"/>
      </w:rPr>
      <w:drawing>
        <wp:inline distT="0" distB="0" distL="0" distR="0" wp14:anchorId="7CD7F441" wp14:editId="03C25023">
          <wp:extent cx="5731510" cy="795158"/>
          <wp:effectExtent l="0" t="0" r="2540" b="5080"/>
          <wp:docPr id="5" name="Picture 5"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7882B440">
      <w:start w:val="1"/>
      <w:numFmt w:val="bullet"/>
      <w:lvlText w:val=""/>
      <w:lvlJc w:val="left"/>
      <w:pPr>
        <w:ind w:left="720" w:hanging="360"/>
      </w:pPr>
      <w:rPr>
        <w:rFonts w:ascii="Symbol" w:hAnsi="Symbol" w:hint="default"/>
        <w:color w:val="5B9BD5" w:themeColor="accent1"/>
      </w:rPr>
    </w:lvl>
    <w:lvl w:ilvl="1" w:tplc="92A8BFC0" w:tentative="1">
      <w:start w:val="1"/>
      <w:numFmt w:val="bullet"/>
      <w:lvlText w:val="o"/>
      <w:lvlJc w:val="left"/>
      <w:pPr>
        <w:ind w:left="1440" w:hanging="360"/>
      </w:pPr>
      <w:rPr>
        <w:rFonts w:ascii="Courier New" w:hAnsi="Courier New" w:cs="Courier New" w:hint="default"/>
      </w:rPr>
    </w:lvl>
    <w:lvl w:ilvl="2" w:tplc="BD68E4E6" w:tentative="1">
      <w:start w:val="1"/>
      <w:numFmt w:val="bullet"/>
      <w:lvlText w:val=""/>
      <w:lvlJc w:val="left"/>
      <w:pPr>
        <w:ind w:left="2160" w:hanging="360"/>
      </w:pPr>
      <w:rPr>
        <w:rFonts w:ascii="Wingdings" w:hAnsi="Wingdings" w:hint="default"/>
      </w:rPr>
    </w:lvl>
    <w:lvl w:ilvl="3" w:tplc="113EBBF6" w:tentative="1">
      <w:start w:val="1"/>
      <w:numFmt w:val="bullet"/>
      <w:lvlText w:val=""/>
      <w:lvlJc w:val="left"/>
      <w:pPr>
        <w:ind w:left="2880" w:hanging="360"/>
      </w:pPr>
      <w:rPr>
        <w:rFonts w:ascii="Symbol" w:hAnsi="Symbol" w:hint="default"/>
      </w:rPr>
    </w:lvl>
    <w:lvl w:ilvl="4" w:tplc="73724214" w:tentative="1">
      <w:start w:val="1"/>
      <w:numFmt w:val="bullet"/>
      <w:lvlText w:val="o"/>
      <w:lvlJc w:val="left"/>
      <w:pPr>
        <w:ind w:left="3600" w:hanging="360"/>
      </w:pPr>
      <w:rPr>
        <w:rFonts w:ascii="Courier New" w:hAnsi="Courier New" w:cs="Courier New" w:hint="default"/>
      </w:rPr>
    </w:lvl>
    <w:lvl w:ilvl="5" w:tplc="465A5948" w:tentative="1">
      <w:start w:val="1"/>
      <w:numFmt w:val="bullet"/>
      <w:lvlText w:val=""/>
      <w:lvlJc w:val="left"/>
      <w:pPr>
        <w:ind w:left="4320" w:hanging="360"/>
      </w:pPr>
      <w:rPr>
        <w:rFonts w:ascii="Wingdings" w:hAnsi="Wingdings" w:hint="default"/>
      </w:rPr>
    </w:lvl>
    <w:lvl w:ilvl="6" w:tplc="82707DDC" w:tentative="1">
      <w:start w:val="1"/>
      <w:numFmt w:val="bullet"/>
      <w:lvlText w:val=""/>
      <w:lvlJc w:val="left"/>
      <w:pPr>
        <w:ind w:left="5040" w:hanging="360"/>
      </w:pPr>
      <w:rPr>
        <w:rFonts w:ascii="Symbol" w:hAnsi="Symbol" w:hint="default"/>
      </w:rPr>
    </w:lvl>
    <w:lvl w:ilvl="7" w:tplc="BD9EEA16" w:tentative="1">
      <w:start w:val="1"/>
      <w:numFmt w:val="bullet"/>
      <w:lvlText w:val="o"/>
      <w:lvlJc w:val="left"/>
      <w:pPr>
        <w:ind w:left="5760" w:hanging="360"/>
      </w:pPr>
      <w:rPr>
        <w:rFonts w:ascii="Courier New" w:hAnsi="Courier New" w:cs="Courier New" w:hint="default"/>
      </w:rPr>
    </w:lvl>
    <w:lvl w:ilvl="8" w:tplc="07B63D3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55"/>
    <w:rsid w:val="00170A5E"/>
    <w:rsid w:val="001B1655"/>
    <w:rsid w:val="006C3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691B"/>
  <w15:docId w15:val="{03F9D2A6-7F1A-4E1E-921F-AF339C03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ro-RO"/>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ro-RO"/>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170A5E"/>
    <w:pPr>
      <w:tabs>
        <w:tab w:val="center" w:pos="4513"/>
        <w:tab w:val="right" w:pos="9026"/>
      </w:tabs>
    </w:pPr>
  </w:style>
  <w:style w:type="character" w:customStyle="1" w:styleId="HeaderChar">
    <w:name w:val="Header Char"/>
    <w:basedOn w:val="DefaultParagraphFont"/>
    <w:link w:val="Header"/>
    <w:uiPriority w:val="99"/>
    <w:rsid w:val="00170A5E"/>
    <w:rPr>
      <w:rFonts w:ascii="Cambria" w:eastAsia="Times New Roman" w:hAnsi="Cambria" w:cs="Times New Roman"/>
      <w:sz w:val="24"/>
      <w:szCs w:val="24"/>
    </w:rPr>
  </w:style>
  <w:style w:type="paragraph" w:styleId="Footer">
    <w:name w:val="footer"/>
    <w:basedOn w:val="Normal"/>
    <w:link w:val="FooterChar"/>
    <w:uiPriority w:val="99"/>
    <w:unhideWhenUsed/>
    <w:rsid w:val="00170A5E"/>
    <w:pPr>
      <w:tabs>
        <w:tab w:val="center" w:pos="4513"/>
        <w:tab w:val="right" w:pos="9026"/>
      </w:tabs>
    </w:pPr>
  </w:style>
  <w:style w:type="character" w:customStyle="1" w:styleId="FooterChar">
    <w:name w:val="Footer Char"/>
    <w:basedOn w:val="DefaultParagraphFont"/>
    <w:link w:val="Footer"/>
    <w:uiPriority w:val="99"/>
    <w:rsid w:val="00170A5E"/>
    <w:rPr>
      <w:rFonts w:ascii="Cambria" w:eastAsia="Times New Roman" w:hAnsi="Cambria" w:cs="Times New Roman"/>
      <w:sz w:val="24"/>
      <w:szCs w:val="24"/>
    </w:rPr>
  </w:style>
  <w:style w:type="paragraph" w:customStyle="1" w:styleId="EASOsenderfooter">
    <w:name w:val="EASO_sender footer"/>
    <w:rsid w:val="00170A5E"/>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6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2017-07-04T17:02:00Z</dcterms:modified>
</cp:coreProperties>
</file>