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EA" w:rsidRDefault="00E62DEA" w:rsidP="00E62DEA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PR 05/2017</w:t>
      </w:r>
    </w:p>
    <w:p w:rsidR="00402DC6" w:rsidRPr="00A06A2F" w:rsidRDefault="00E62DEA" w:rsidP="00A06A2F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5 lipca 2017 r.</w:t>
      </w:r>
    </w:p>
    <w:p w:rsidR="00A06A2F" w:rsidRDefault="000053EE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02DC6" w:rsidRPr="00A06A2F" w:rsidRDefault="00E62DEA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u w:val="single"/>
        </w:rPr>
        <w:t>Komunikat prasowy:</w:t>
      </w:r>
      <w:r>
        <w:rPr>
          <w:rFonts w:asciiTheme="minorHAnsi" w:hAnsiTheme="minorHAnsi"/>
          <w:b/>
          <w:sz w:val="22"/>
        </w:rPr>
        <w:t xml:space="preserve"> Roczne sprawozdanie EASO na temat sytuacji w dziedzinie azylu w UE oraz najnowsze dane liczbowe dotyczące azylu</w:t>
      </w:r>
    </w:p>
    <w:p w:rsidR="00402DC6" w:rsidRPr="00A06A2F" w:rsidRDefault="000053EE" w:rsidP="00A06A2F">
      <w:pPr>
        <w:pStyle w:val="Default"/>
        <w:ind w:right="-142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A06A2F" w:rsidRPr="00A06A2F" w:rsidRDefault="00E62DEA" w:rsidP="00A06A2F">
      <w:pPr>
        <w:keepNext/>
        <w:keepLines/>
        <w:spacing w:before="200" w:after="240"/>
        <w:ind w:right="-142"/>
        <w:jc w:val="both"/>
        <w:outlineLvl w:val="1"/>
        <w:rPr>
          <w:rFonts w:asciiTheme="minorHAnsi" w:eastAsiaTheme="majorEastAsia" w:hAnsiTheme="minorHAnsi" w:cstheme="majorBidi"/>
          <w:b/>
          <w:bCs/>
          <w:color w:val="5B9BD5" w:themeColor="accent1"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Europejski Urząd Wsparcia w dziedzinie Azylu (EASO) opublikował dzisiaj roczne sprawozdanie: „Roczne sprawozdanie na temat sytuacji w dziedzinie azylu w Unii Europejskiej za rok 2016”. Sprawozdanie to stanowi próbę kompleksowego przeglądu sytuacji w dziedzinie azylu w UE+ (tj. w państwach członkowskich UE oraz w Norwegii, Szwajcarii, Islandii i Liechtensteinie) przez zbadanie wniosków o udzielenie ochrony międzynarodowej w UE, przeanalizowanie danych dotyczących wniosków i decyzji, tendencji w zakresie azylu, w tym głównych wyzwań i reakcji na nie w ciągu całego roku, najważniejszych zmian instytucjonalnych i prawnych oraz przegląd sytuacji w zakresie praktycznego funkcjonowania wspólnego europejskiego systemu azylowego (WESA).</w:t>
      </w:r>
      <w:r>
        <w:rPr>
          <w:rFonts w:asciiTheme="minorHAnsi" w:hAnsiTheme="minorHAnsi" w:cstheme="minorHAnsi"/>
          <w:sz w:val="22"/>
        </w:rPr>
        <w:t xml:space="preserve"> </w:t>
      </w:r>
    </w:p>
    <w:p w:rsidR="00402DC6" w:rsidRPr="00A06A2F" w:rsidRDefault="00E62DEA" w:rsidP="00AF70F9">
      <w:pPr>
        <w:pStyle w:val="DoNotTranslateExternal1"/>
      </w:pPr>
      <w:r>
        <w:t>**</w:t>
      </w:r>
    </w:p>
    <w:p w:rsidR="00A06A2F" w:rsidRPr="00A06A2F" w:rsidRDefault="00E62DEA" w:rsidP="00A06A2F">
      <w:pPr>
        <w:keepNext/>
        <w:keepLines/>
        <w:spacing w:after="120"/>
        <w:ind w:right="-1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W 2016 r. w państwach UE+ złożono prawie 1,3 mln wniosków o udzielenie ochrony międzynarodowej. Był to 7% spadek w porównaniu z 2015 r., w którym liczba złożonych wniosków sięgnęła około 1,4 mln. Jednakże znaczny wzrost liczby wniosków o udzielenie azylu w ciągu ostatnich dwóch lat przyczynił się do zwiększenia liczby decyzji wydanych w pierwszej instancji: w 2016 r. w państwach UE+ wydano blisko 1,15 mln decyzji w pierwszej instancji, co stanowi wzrost o 84% w porównaniu z 2015 r. W 2016 r. liczba decyzji wydanych w drugiej instancji również wzrosła w porównaniu z 2015 r. o 21%. Ogólny wskaźnik przyznawania azylu wyniósł 61% dla decyzji wydanych w pierwszej instancji i zwiększył się w porównaniu z rokiem poprzednim. </w:t>
      </w:r>
    </w:p>
    <w:p w:rsidR="005A3F47" w:rsidRPr="00A06A2F" w:rsidRDefault="00E62DEA" w:rsidP="00A06A2F">
      <w:pPr>
        <w:keepNext/>
        <w:keepLines/>
        <w:spacing w:before="200"/>
        <w:ind w:right="-144"/>
        <w:jc w:val="both"/>
        <w:outlineLvl w:val="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Najliczniejszą grupę osób ubiegających się o azyl stanowili obywatele Syrii, Afganistanu, Iraku, Pakistanu i Nigerii. Głównymi państwami przyjmującymi były Niemcy, Włochy, Francja, Grecja i Austria. W porównaniu z 2015 r. 7% więcej osób ubiegających się o ochronę oczekiwało na ostateczną decyzję w sprawie swoich wniosków, co nadal stanowiło presję dla systemów przyjmowania i azylu w UE+. </w:t>
      </w:r>
    </w:p>
    <w:p w:rsidR="00055B51" w:rsidRPr="00A06A2F" w:rsidRDefault="00E62DEA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Kryzys w Syrii był w dalszym ciągu najważniejszym czynnikiem wpływającym na liczbę wniosków o udzielenie ochrony międzynarodowej w UE+. Syria była państwem, którego obywatele złożyli najwięcej wniosków, czyli 26% wszystkich wniosków złożonych w UE+.  </w:t>
      </w:r>
    </w:p>
    <w:p w:rsidR="005A3F47" w:rsidRPr="00A06A2F" w:rsidRDefault="00E62DEA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W 2016 r. ponad 65 000 osób małoletnich bez opieki złożyło wniosek o udzielenie ochrony międzynarodowej w UE+, co stanowiło o 37% mniej niż w roku poprzednim. 37% </w:t>
      </w:r>
      <w:proofErr w:type="gramStart"/>
      <w:r>
        <w:rPr>
          <w:rFonts w:asciiTheme="minorHAnsi" w:hAnsiTheme="minorHAnsi"/>
          <w:sz w:val="22"/>
        </w:rPr>
        <w:t>wszystkich</w:t>
      </w:r>
      <w:proofErr w:type="gramEnd"/>
      <w:r>
        <w:rPr>
          <w:rFonts w:asciiTheme="minorHAnsi" w:hAnsiTheme="minorHAnsi"/>
          <w:sz w:val="22"/>
        </w:rPr>
        <w:t xml:space="preserve"> wniosków od osób małoletnich bez opieki w UE+ pochodziło od obywateli Afganistanu.</w:t>
      </w:r>
    </w:p>
    <w:p w:rsidR="005A3F47" w:rsidRPr="00A06A2F" w:rsidRDefault="000053EE" w:rsidP="00A06A2F">
      <w:pPr>
        <w:pStyle w:val="Default"/>
        <w:ind w:right="-142"/>
        <w:jc w:val="both"/>
        <w:rPr>
          <w:rFonts w:asciiTheme="minorHAnsi" w:hAnsiTheme="minorHAnsi"/>
          <w:sz w:val="22"/>
          <w:szCs w:val="22"/>
        </w:rPr>
      </w:pPr>
    </w:p>
    <w:p w:rsidR="00402DC6" w:rsidRPr="00A06A2F" w:rsidRDefault="00E62DEA" w:rsidP="00A06A2F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Najnowsze dane liczbowe</w:t>
      </w:r>
      <w:r>
        <w:rPr>
          <w:rFonts w:asciiTheme="minorHAnsi" w:hAnsiTheme="minorHAnsi"/>
          <w:sz w:val="22"/>
        </w:rPr>
        <w:t xml:space="preserve"> za pierwsze miesiące 2017 r. wskazują na dalszy spadek liczby wniosków o udzielenie ochrony międzynarodowej w porównaniu z miesięcznymi danymi za rok 2016, 2015 i drugą połowę 2014 r. Dane liczbowe za pierwsze miesiące 2017 r. były jednak nadal wyższe niż w pierwszej połowie 2014 </w:t>
      </w:r>
      <w:proofErr w:type="gramStart"/>
      <w:r>
        <w:rPr>
          <w:rFonts w:asciiTheme="minorHAnsi" w:hAnsiTheme="minorHAnsi"/>
          <w:sz w:val="22"/>
        </w:rPr>
        <w:t>r.  W</w:t>
      </w:r>
      <w:proofErr w:type="gramEnd"/>
      <w:r>
        <w:rPr>
          <w:rFonts w:asciiTheme="minorHAnsi" w:hAnsiTheme="minorHAnsi"/>
          <w:sz w:val="22"/>
        </w:rPr>
        <w:t xml:space="preserve"> okresie od stycznia do maja 2017 r. Syria była nieustannie głównym krajem pochodzenia osób ubiegających się o azyl w UE+. Jednakże w tym okresie obywatele Syrii w dalszym ciągu stanowili zaledwie 13% wszystkich wniosków w państwach UE+, co stanowi dużą zmianę w porównaniu z rokiem poprzednim, w którym średnio co czwarty wniosek pochodził od obywatela Syrii. W ciągu pierwszych czterech miesięcy 2017 r. obywatele trzech innych krajów pochodzenia – Afganistanu, Nigerii i Iraku – wraz z obywatelami z Syrii, złożyli jedną trzecią łącznej liczby wniosków w UE+. Obywatele Afganistanu nadal stanowią największą część osób objętych wnioskami małoletnich bez opieki. Pod koniec maja ponad 595 000 wniosków oczekiwało na decyzję w pierwszej instancji, z czego w 59% przypadków rozpatrywano od ponad sześciu miesięcy.</w:t>
      </w:r>
    </w:p>
    <w:p w:rsidR="00402DC6" w:rsidRPr="00A06A2F" w:rsidRDefault="000053EE" w:rsidP="00A06A2F">
      <w:pPr>
        <w:ind w:right="-142"/>
        <w:jc w:val="both"/>
        <w:rPr>
          <w:rFonts w:asciiTheme="minorHAnsi" w:hAnsiTheme="minorHAnsi"/>
          <w:sz w:val="22"/>
          <w:szCs w:val="22"/>
        </w:rPr>
      </w:pPr>
    </w:p>
    <w:p w:rsidR="005A3F47" w:rsidRPr="00A06A2F" w:rsidRDefault="00E62DEA" w:rsidP="00AF70F9">
      <w:pPr>
        <w:ind w:right="-142"/>
        <w:jc w:val="both"/>
        <w:rPr>
          <w:sz w:val="22"/>
          <w:szCs w:val="22"/>
        </w:rPr>
      </w:pPr>
      <w:r>
        <w:rPr>
          <w:rFonts w:asciiTheme="minorHAnsi" w:hAnsiTheme="minorHAnsi"/>
          <w:i/>
          <w:sz w:val="22"/>
        </w:rPr>
        <w:t>Dalsze informacje o EASO można uzyskać, kontaktując się z Jeanem-</w:t>
      </w:r>
      <w:proofErr w:type="spellStart"/>
      <w:r>
        <w:rPr>
          <w:rFonts w:asciiTheme="minorHAnsi" w:hAnsiTheme="minorHAnsi"/>
          <w:i/>
          <w:sz w:val="22"/>
        </w:rPr>
        <w:t>Pierrem</w:t>
      </w:r>
      <w:proofErr w:type="spellEnd"/>
      <w:r>
        <w:rPr>
          <w:rFonts w:asciiTheme="minorHAnsi" w:hAnsiTheme="minorHAnsi"/>
          <w:i/>
          <w:sz w:val="22"/>
        </w:rPr>
        <w:t xml:space="preserve"> Schembri pod następującym adresem e-mail: </w:t>
      </w:r>
      <w:hyperlink r:id="rId7" w:history="1">
        <w:r>
          <w:rPr>
            <w:rStyle w:val="Hyperlink"/>
            <w:rFonts w:asciiTheme="minorHAnsi" w:hAnsiTheme="minorHAnsi"/>
            <w:i/>
            <w:sz w:val="22"/>
          </w:rPr>
          <w:t>jean-pierre.schembri@easo.europa.eu</w:t>
        </w:r>
      </w:hyperlink>
      <w:r>
        <w:rPr>
          <w:rFonts w:asciiTheme="minorHAnsi" w:hAnsiTheme="minorHAnsi"/>
          <w:i/>
          <w:sz w:val="22"/>
        </w:rPr>
        <w:t xml:space="preserve"> (zapraszamy do śledzenia nas na </w:t>
      </w:r>
      <w:proofErr w:type="spellStart"/>
      <w:r>
        <w:rPr>
          <w:rFonts w:asciiTheme="minorHAnsi" w:hAnsiTheme="minorHAnsi"/>
          <w:i/>
          <w:sz w:val="22"/>
        </w:rPr>
        <w:t>twitterze</w:t>
      </w:r>
      <w:proofErr w:type="spellEnd"/>
      <w:r>
        <w:rPr>
          <w:rFonts w:asciiTheme="minorHAnsi" w:hAnsiTheme="minorHAnsi"/>
          <w:i/>
          <w:sz w:val="22"/>
        </w:rPr>
        <w:t xml:space="preserve"> </w:t>
      </w:r>
      <w:hyperlink r:id="rId8" w:history="1">
        <w:r>
          <w:rPr>
            <w:rStyle w:val="Hyperlink"/>
            <w:rFonts w:asciiTheme="minorHAnsi" w:hAnsiTheme="minorHAnsi"/>
            <w:i/>
            <w:sz w:val="22"/>
          </w:rPr>
          <w:t>@EASO</w:t>
        </w:r>
      </w:hyperlink>
      <w:r>
        <w:rPr>
          <w:rFonts w:asciiTheme="minorHAnsi" w:hAnsiTheme="minorHAnsi"/>
          <w:i/>
          <w:sz w:val="22"/>
        </w:rPr>
        <w:t>)</w:t>
      </w:r>
      <w:bookmarkStart w:id="0" w:name="_GoBack"/>
      <w:bookmarkEnd w:id="0"/>
    </w:p>
    <w:sectPr w:rsidR="005A3F47" w:rsidRPr="00A06A2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3EE" w:rsidRDefault="000053EE" w:rsidP="00C423E1">
      <w:r>
        <w:separator/>
      </w:r>
    </w:p>
  </w:endnote>
  <w:endnote w:type="continuationSeparator" w:id="0">
    <w:p w:rsidR="000053EE" w:rsidRDefault="000053EE" w:rsidP="00C4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1" w:rsidRPr="003A40EF" w:rsidRDefault="00C423E1" w:rsidP="00C423E1">
    <w:pPr>
      <w:pStyle w:val="EASOsenderfooter"/>
      <w:rPr>
        <w:lang w:val="en-US"/>
      </w:rPr>
    </w:pPr>
    <w:r>
      <w:t>European Asylum Support Office, MTC Block A, Winemakers Wharf, Grand Harbour Valletta, MRS 1917, Malta</w:t>
    </w:r>
    <w:r>
      <w:tab/>
    </w:r>
    <w:r w:rsidRPr="00C659B7">
      <w:fldChar w:fldCharType="begin"/>
    </w:r>
    <w:r w:rsidRPr="00C659B7">
      <w:instrText xml:space="preserve"> PAGE </w:instrText>
    </w:r>
    <w:r w:rsidRPr="00C659B7">
      <w:fldChar w:fldCharType="separate"/>
    </w:r>
    <w:r>
      <w:rPr>
        <w:noProof/>
      </w:rPr>
      <w:t>2</w:t>
    </w:r>
    <w:r w:rsidRPr="00C659B7">
      <w:fldChar w:fldCharType="end"/>
    </w:r>
    <w:r w:rsidRPr="00C659B7">
      <w:t>/</w:t>
    </w:r>
    <w:r w:rsidRPr="00C659B7">
      <w:fldChar w:fldCharType="begin"/>
    </w:r>
    <w:r w:rsidRPr="00C659B7">
      <w:instrText xml:space="preserve"> NUMPAGES </w:instrText>
    </w:r>
    <w:r w:rsidRPr="00C659B7">
      <w:fldChar w:fldCharType="separate"/>
    </w:r>
    <w:r>
      <w:rPr>
        <w:noProof/>
      </w:rPr>
      <w:t>2</w:t>
    </w:r>
    <w:r w:rsidRPr="00C659B7">
      <w:fldChar w:fldCharType="end"/>
    </w:r>
  </w:p>
  <w:p w:rsidR="00C423E1" w:rsidRPr="00C423E1" w:rsidRDefault="00C423E1" w:rsidP="00C423E1">
    <w:pPr>
      <w:pStyle w:val="EASOsenderfooter"/>
      <w:rPr>
        <w:lang w:val="en-US"/>
      </w:rPr>
    </w:pPr>
    <w:r>
      <w:t>Tel: +356 22487500, website: www.easo 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3EE" w:rsidRDefault="000053EE" w:rsidP="00C423E1">
      <w:r>
        <w:separator/>
      </w:r>
    </w:p>
  </w:footnote>
  <w:footnote w:type="continuationSeparator" w:id="0">
    <w:p w:rsidR="000053EE" w:rsidRDefault="000053EE" w:rsidP="00C4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1" w:rsidRDefault="00C423E1">
    <w:pPr>
      <w:pStyle w:val="Header"/>
    </w:pPr>
    <w:r>
      <w:rPr>
        <w:rFonts w:ascii="Calibri" w:hAnsi="Calibri" w:cs="Calibri"/>
        <w:noProof/>
        <w:sz w:val="22"/>
        <w:szCs w:val="22"/>
        <w:lang w:val="en-GB" w:eastAsia="en-GB" w:bidi="ar-SA"/>
      </w:rPr>
      <w:drawing>
        <wp:inline distT="0" distB="0" distL="0" distR="0" wp14:anchorId="037D0B4C" wp14:editId="6F270A3E">
          <wp:extent cx="5731510" cy="795158"/>
          <wp:effectExtent l="0" t="0" r="2540" b="5080"/>
          <wp:docPr id="6" name="Picture 6" descr="EASO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O letter 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9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171D"/>
    <w:multiLevelType w:val="hybridMultilevel"/>
    <w:tmpl w:val="D958C468"/>
    <w:lvl w:ilvl="0" w:tplc="079C2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DFF66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AE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6E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22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A5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80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21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E2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EA"/>
    <w:rsid w:val="000053EE"/>
    <w:rsid w:val="00C423E1"/>
    <w:rsid w:val="00E6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FA4D"/>
  <w15:docId w15:val="{43DF85B0-CF4D-4D68-B6B3-309249C3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DC6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2DC6"/>
    <w:rPr>
      <w:color w:val="0000FF"/>
      <w:u w:val="single"/>
    </w:rPr>
  </w:style>
  <w:style w:type="paragraph" w:customStyle="1" w:styleId="Default">
    <w:name w:val="Default"/>
    <w:rsid w:val="00402D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3F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A3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F47"/>
    <w:rPr>
      <w:rFonts w:ascii="Cambria" w:eastAsia="Times New Roman" w:hAnsi="Cambria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F47"/>
    <w:rPr>
      <w:rFonts w:ascii="Cambria" w:eastAsia="Times New Roman" w:hAnsi="Cambria" w:cs="Times New Roman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47"/>
    <w:rPr>
      <w:rFonts w:ascii="Segoe UI" w:eastAsia="Times New Roman" w:hAnsi="Segoe UI" w:cs="Segoe UI"/>
      <w:sz w:val="18"/>
      <w:szCs w:val="18"/>
      <w:lang w:val="pl-PL"/>
    </w:rPr>
  </w:style>
  <w:style w:type="paragraph" w:styleId="Revision">
    <w:name w:val="Revision"/>
    <w:hidden/>
    <w:uiPriority w:val="99"/>
    <w:semiHidden/>
    <w:rsid w:val="0022136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oNotTranslateExternal1">
    <w:name w:val="DoNotTranslateExternal1"/>
    <w:basedOn w:val="Default"/>
    <w:qFormat/>
    <w:rsid w:val="00AF70F9"/>
    <w:pPr>
      <w:ind w:right="-142"/>
      <w:jc w:val="both"/>
    </w:pPr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42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3E1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2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3E1"/>
    <w:rPr>
      <w:rFonts w:ascii="Cambria" w:eastAsia="Times New Roman" w:hAnsi="Cambria" w:cs="Times New Roman"/>
      <w:sz w:val="24"/>
      <w:szCs w:val="24"/>
    </w:rPr>
  </w:style>
  <w:style w:type="paragraph" w:customStyle="1" w:styleId="EASOsenderfooter">
    <w:name w:val="EASO_sender footer"/>
    <w:rsid w:val="00C423E1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alibri" w:eastAsia="Times New Roman" w:hAnsi="Calibri" w:cs="TrebuchetMS"/>
      <w:color w:val="003399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A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an-pierre.schembri@easo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Kioulia, Georgia</cp:lastModifiedBy>
  <cp:revision>7</cp:revision>
  <dcterms:created xsi:type="dcterms:W3CDTF">2017-06-27T07:56:00Z</dcterms:created>
  <dcterms:modified xsi:type="dcterms:W3CDTF">2017-07-04T17:01:00Z</dcterms:modified>
</cp:coreProperties>
</file>