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055" w:rsidRDefault="001B5055" w:rsidP="001B5055">
      <w:pPr>
        <w:pStyle w:val="Default"/>
        <w:ind w:right="-142"/>
        <w:jc w:val="right"/>
        <w:rPr>
          <w:b/>
          <w:bCs/>
          <w:sz w:val="22"/>
          <w:szCs w:val="22"/>
        </w:rPr>
      </w:pPr>
      <w:r>
        <w:rPr>
          <w:b/>
          <w:sz w:val="22"/>
        </w:rPr>
        <w:t>PR 05/2017</w:t>
      </w:r>
    </w:p>
    <w:p w:rsidR="00402DC6" w:rsidRPr="00A06A2F" w:rsidRDefault="001B5055" w:rsidP="00A06A2F">
      <w:pPr>
        <w:pStyle w:val="Default"/>
        <w:ind w:right="-142"/>
        <w:jc w:val="right"/>
        <w:rPr>
          <w:b/>
          <w:bCs/>
          <w:sz w:val="22"/>
          <w:szCs w:val="22"/>
        </w:rPr>
      </w:pPr>
      <w:r>
        <w:rPr>
          <w:b/>
          <w:sz w:val="22"/>
        </w:rPr>
        <w:t>2017 m. liepos 5 d.</w:t>
      </w:r>
    </w:p>
    <w:p w:rsidR="00A06A2F" w:rsidRDefault="007E588E" w:rsidP="00A06A2F">
      <w:pPr>
        <w:pStyle w:val="Default"/>
        <w:ind w:right="-142"/>
        <w:jc w:val="both"/>
        <w:rPr>
          <w:rFonts w:asciiTheme="minorHAnsi" w:hAnsiTheme="minorHAnsi"/>
          <w:b/>
          <w:bCs/>
          <w:sz w:val="22"/>
          <w:szCs w:val="22"/>
          <w:u w:val="single"/>
        </w:rPr>
      </w:pPr>
    </w:p>
    <w:p w:rsidR="00402DC6" w:rsidRPr="00A06A2F" w:rsidRDefault="001B5055" w:rsidP="00A06A2F">
      <w:pPr>
        <w:pStyle w:val="Default"/>
        <w:ind w:right="-142"/>
        <w:jc w:val="both"/>
        <w:rPr>
          <w:rFonts w:asciiTheme="minorHAnsi" w:hAnsiTheme="minorHAnsi"/>
          <w:b/>
          <w:bCs/>
          <w:sz w:val="22"/>
          <w:szCs w:val="22"/>
        </w:rPr>
      </w:pPr>
      <w:r>
        <w:rPr>
          <w:rFonts w:asciiTheme="minorHAnsi" w:hAnsiTheme="minorHAnsi"/>
          <w:b/>
          <w:sz w:val="22"/>
          <w:u w:val="single"/>
        </w:rPr>
        <w:t>Pranešimas spaudai.</w:t>
      </w:r>
      <w:r>
        <w:rPr>
          <w:rFonts w:asciiTheme="minorHAnsi" w:hAnsiTheme="minorHAnsi"/>
          <w:b/>
          <w:sz w:val="22"/>
        </w:rPr>
        <w:t xml:space="preserve"> EASO metinė ataskaita apie prieglobsčio padėtį ES ir naujausi duomenys apie prieglobsčio prašytojus</w:t>
      </w:r>
    </w:p>
    <w:p w:rsidR="00402DC6" w:rsidRPr="00A06A2F" w:rsidRDefault="007E588E" w:rsidP="00A06A2F">
      <w:pPr>
        <w:pStyle w:val="Default"/>
        <w:ind w:right="-142"/>
        <w:jc w:val="both"/>
        <w:rPr>
          <w:rFonts w:asciiTheme="minorHAnsi" w:hAnsiTheme="minorHAnsi"/>
          <w:b/>
          <w:bCs/>
          <w:i/>
          <w:iCs/>
          <w:sz w:val="22"/>
          <w:szCs w:val="22"/>
        </w:rPr>
      </w:pPr>
    </w:p>
    <w:p w:rsidR="00A06A2F" w:rsidRPr="00A06A2F" w:rsidRDefault="001B5055"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Šiandien Europos prieglobsčio paramos biuras (EASO) paskelbė savo kasmet teikiamą ataskaitą – „2016 m. metinę ataskaitą apie prieglobsčio padėtį Europos Sąjungoje“. Šioje ataskaitoje išsamiai apžvelgiama prieglobsčio padėtis ES+ (Europos Sąjungos valstybėse narėse ir Norvegijoje, Šveicarijoje, Islandijoje ir Lichtenšteine): čia analizuojami ES šalims pateikti tarptautinės apsaugos prašymai, prašymų ir sprendimų duomenys, prieglobsčio tendencijos, įskaitant svarbiausius metų iššūkius ir taikytas priemones, reikšmingus institucinius ir teisinius įvykius, ir aprašoma, kaip praktiškai veikia bendra Europos prieglobsčio sistema (BEPS).</w:t>
      </w:r>
      <w:r>
        <w:rPr>
          <w:rFonts w:asciiTheme="minorHAnsi" w:hAnsiTheme="minorHAnsi" w:cstheme="minorHAnsi"/>
          <w:sz w:val="22"/>
        </w:rPr>
        <w:t xml:space="preserve"> </w:t>
      </w:r>
    </w:p>
    <w:p w:rsidR="00402DC6" w:rsidRPr="00A06A2F" w:rsidRDefault="001B5055" w:rsidP="00AF70F9">
      <w:pPr>
        <w:pStyle w:val="DoNotTranslateExternal1"/>
      </w:pPr>
      <w:r>
        <w:t>**</w:t>
      </w:r>
    </w:p>
    <w:p w:rsidR="00A06A2F" w:rsidRPr="00A06A2F" w:rsidRDefault="001B5055" w:rsidP="00A06A2F">
      <w:pPr>
        <w:keepNext/>
        <w:keepLines/>
        <w:spacing w:after="120"/>
        <w:ind w:right="-144"/>
        <w:jc w:val="both"/>
        <w:rPr>
          <w:rFonts w:asciiTheme="minorHAnsi" w:hAnsiTheme="minorHAnsi"/>
          <w:sz w:val="22"/>
          <w:szCs w:val="22"/>
        </w:rPr>
      </w:pPr>
      <w:r>
        <w:rPr>
          <w:rFonts w:asciiTheme="minorHAnsi" w:hAnsiTheme="minorHAnsi"/>
          <w:sz w:val="22"/>
        </w:rPr>
        <w:t xml:space="preserve">2016 m. ES+ šalyse gauta beveik 1,3 mln. tarptautinės apsaugos prašymų. Palyginti su 2015 m., kuriais pateikta bemaž 1,4 mln. prašymų, šis skaičius išaugo 7 proc. Tačiau per pastaruosius dvejus metus labai išaugus prieglobsčio prašymų skaičiui, priimta daugiau pirmosios instancijos sprendimų: 2016 m. ES+ šalys priėmė bemaž 1,15 mln. pirmosios instancijos sprendimų, t. y. 84 proc. daugiau nei 2015 m. 2016 m. išaugo ir antrosios instancijos sprendimų skaičius, jų priimta 21 proc. daugiau nei 2015 m. Bendras pirmosios instancijos sprendimų įstaigos patenkintų prieglobsčio prašymų lygis buvo 61 proc. Palyginti su praėjusiais metais, jis išaugo. </w:t>
      </w:r>
    </w:p>
    <w:p w:rsidR="005A3F47" w:rsidRPr="00A06A2F" w:rsidRDefault="001B5055"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Daugiausia prieglobsčio prašymų pateikė Sirijos, Afganistano, Irako, Pakistano ir Nigerijos piliečiai. Pagrindinės priimančiosios šalys buvo Vokietija, Italija, Prancūzija, Graikija ir Austrija. Galutinio sprendimo dėl savo prašymo laukė 7 proc. daugiau žmonių nei 2015 m. – taigi, spaudimas ES+ šalių prieglobsčio ir priėmimo sistemoms išliko. </w:t>
      </w:r>
    </w:p>
    <w:p w:rsidR="00055B51" w:rsidRPr="00A06A2F" w:rsidRDefault="001B5055"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Krizė Sirijoje ir toliau buvo pagrindinis veiksnys, lėmęs tarptautinės apsaugos prašymų skaičių ES+ šalyse. Sirijos piliečiai buvo didžiausia prašytojų grupė – jie pateikė 26 proc. visų ES+ šalyse gautų prašymų.  </w:t>
      </w:r>
    </w:p>
    <w:p w:rsidR="005A3F47" w:rsidRPr="00A06A2F" w:rsidRDefault="001B5055"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2016 m. per 65 tūkst. nelydimų nepilnamečių paprašė tarptautinės apsaugos ES+ šalyse – 37 proc. mažiau nei praėjusiais metais. 37 proc. šių prašymų ES+ šalyse pateikė Afganistano piliečiai.</w:t>
      </w:r>
    </w:p>
    <w:p w:rsidR="005A3F47" w:rsidRPr="00A06A2F" w:rsidRDefault="007E588E" w:rsidP="00A06A2F">
      <w:pPr>
        <w:pStyle w:val="Default"/>
        <w:ind w:right="-142"/>
        <w:jc w:val="both"/>
        <w:rPr>
          <w:rFonts w:asciiTheme="minorHAnsi" w:hAnsiTheme="minorHAnsi"/>
          <w:sz w:val="22"/>
          <w:szCs w:val="22"/>
        </w:rPr>
      </w:pPr>
    </w:p>
    <w:p w:rsidR="00402DC6" w:rsidRPr="00A06A2F" w:rsidRDefault="001B5055" w:rsidP="00A06A2F">
      <w:pPr>
        <w:ind w:right="-142"/>
        <w:jc w:val="both"/>
        <w:rPr>
          <w:rFonts w:asciiTheme="minorHAnsi" w:hAnsiTheme="minorHAnsi" w:cstheme="minorHAnsi"/>
          <w:sz w:val="22"/>
          <w:szCs w:val="22"/>
        </w:rPr>
      </w:pPr>
      <w:r>
        <w:rPr>
          <w:rFonts w:asciiTheme="minorHAnsi" w:hAnsiTheme="minorHAnsi" w:cstheme="minorHAnsi"/>
          <w:b/>
          <w:sz w:val="22"/>
        </w:rPr>
        <w:t>Naujausiais duomenimis</w:t>
      </w:r>
      <w:r>
        <w:rPr>
          <w:rFonts w:asciiTheme="minorHAnsi" w:hAnsiTheme="minorHAnsi"/>
          <w:sz w:val="22"/>
        </w:rPr>
        <w:t>, surinktais per pirmuosius 2017 m. mėnesius, tarptautinės apsaugos prašymų skaičius, palyginti su 2016 m., 2015 m. ir 2014 m. antrojo pusmečio mėnesių duomenimis, toliau mažėjo. Tačiau 2017 m. pirmų mėnesių skaičiai vis dar viršijo to paties laikotarpio 2014 m. rodiklius. 2017 m. sausio–gegužės mėnesiais Sirija išliko pagrindinė ES+ šalyse registruotų prieglobsčio prašytojų kilmės šalis. Tačiau šiuo laikotarpiu Sirijos piliečiai sudarė tik 13 proc. visų prašytojų ES +šalyse – tai esminis skirtumas, palyginti su ankstesniais metais, kai vidutiniškai vieną iš keturių prašymų pateikė Sirijos piliečiai. Pirmaisiais keturiais 2017 m. mėnesiais trečdalį visų ES+ šalyse pateiktų prašymų pateikė Sirijos ir dar trijų kilmės šalių – Afganistano, Nigerijos ir Irako – piliečiai. Didžiausia nelydimų nepilnamečių dalis ir toliau buvo Afganistano piliečiai. Gegužės pabaigoje pirmosios instancijos sprendimo laukė per 595 tūkst. žmonių. 59 proc. šių bylų nagrinėjamos jau daugiau nei šešis mėnesius.</w:t>
      </w:r>
    </w:p>
    <w:p w:rsidR="00402DC6" w:rsidRPr="00A06A2F" w:rsidRDefault="007E588E" w:rsidP="00A06A2F">
      <w:pPr>
        <w:ind w:right="-142"/>
        <w:jc w:val="both"/>
        <w:rPr>
          <w:rFonts w:asciiTheme="minorHAnsi" w:hAnsiTheme="minorHAnsi"/>
          <w:sz w:val="22"/>
          <w:szCs w:val="22"/>
        </w:rPr>
      </w:pPr>
    </w:p>
    <w:p w:rsidR="005A3F47" w:rsidRPr="00A06A2F" w:rsidRDefault="001B5055" w:rsidP="00AF70F9">
      <w:pPr>
        <w:ind w:right="-142"/>
        <w:jc w:val="both"/>
        <w:rPr>
          <w:sz w:val="22"/>
          <w:szCs w:val="22"/>
        </w:rPr>
      </w:pPr>
      <w:r>
        <w:rPr>
          <w:rFonts w:asciiTheme="minorHAnsi" w:hAnsiTheme="minorHAnsi"/>
          <w:i/>
          <w:sz w:val="22"/>
        </w:rPr>
        <w:t xml:space="preserve">Norėdami gauti daugiau informacijos apie EASO, kreipkitės į Jean-Pierre Schembri e. paštu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(sekite mūsų paskyrą tinkle „</w:t>
      </w:r>
      <w:proofErr w:type="spellStart"/>
      <w:r>
        <w:rPr>
          <w:rFonts w:asciiTheme="minorHAnsi" w:hAnsiTheme="minorHAnsi"/>
          <w:i/>
          <w:sz w:val="22"/>
        </w:rPr>
        <w:t>Twitter</w:t>
      </w:r>
      <w:proofErr w:type="spellEnd"/>
      <w:r>
        <w:rPr>
          <w:rFonts w:asciiTheme="minorHAnsi" w:hAnsiTheme="minorHAnsi"/>
          <w:i/>
          <w:sz w:val="22"/>
        </w:rPr>
        <w:t xml:space="preserve">“ </w:t>
      </w:r>
      <w:hyperlink r:id="rId8" w:history="1">
        <w:r>
          <w:rPr>
            <w:rStyle w:val="Hyperlink"/>
            <w:rFonts w:asciiTheme="minorHAnsi" w:hAnsiTheme="minorHAnsi"/>
            <w:i/>
            <w:sz w:val="22"/>
          </w:rPr>
          <w:t>@EASO</w:t>
        </w:r>
      </w:hyperlink>
      <w:r>
        <w:rPr>
          <w:rFonts w:asciiTheme="minorHAnsi" w:hAnsiTheme="minorHAnsi"/>
          <w:i/>
          <w:sz w:val="22"/>
        </w:rPr>
        <w:t>).</w:t>
      </w:r>
      <w:bookmarkStart w:id="0" w:name="_GoBack"/>
      <w:bookmarkEnd w:id="0"/>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8E" w:rsidRDefault="007E588E" w:rsidP="005457ED">
      <w:r>
        <w:separator/>
      </w:r>
    </w:p>
  </w:endnote>
  <w:endnote w:type="continuationSeparator" w:id="0">
    <w:p w:rsidR="007E588E" w:rsidRDefault="007E588E" w:rsidP="0054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ED" w:rsidRPr="003A40EF" w:rsidRDefault="005457ED" w:rsidP="005457ED">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5457ED" w:rsidRPr="005457ED" w:rsidRDefault="005457ED" w:rsidP="005457ED">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8E" w:rsidRDefault="007E588E" w:rsidP="005457ED">
      <w:r>
        <w:separator/>
      </w:r>
    </w:p>
  </w:footnote>
  <w:footnote w:type="continuationSeparator" w:id="0">
    <w:p w:rsidR="007E588E" w:rsidRDefault="007E588E" w:rsidP="0054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ED" w:rsidRDefault="005457ED">
    <w:pPr>
      <w:pStyle w:val="Header"/>
    </w:pPr>
    <w:r>
      <w:rPr>
        <w:rFonts w:ascii="Calibri" w:hAnsi="Calibri" w:cs="Calibri"/>
        <w:noProof/>
        <w:sz w:val="22"/>
        <w:szCs w:val="22"/>
        <w:lang w:val="en-GB" w:eastAsia="en-GB" w:bidi="ar-SA"/>
      </w:rPr>
      <w:drawing>
        <wp:inline distT="0" distB="0" distL="0" distR="0" wp14:anchorId="499C1501" wp14:editId="03DEA8A0">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8350FB70">
      <w:start w:val="1"/>
      <w:numFmt w:val="bullet"/>
      <w:lvlText w:val=""/>
      <w:lvlJc w:val="left"/>
      <w:pPr>
        <w:ind w:left="720" w:hanging="360"/>
      </w:pPr>
      <w:rPr>
        <w:rFonts w:ascii="Symbol" w:hAnsi="Symbol" w:hint="default"/>
        <w:color w:val="5B9BD5" w:themeColor="accent1"/>
      </w:rPr>
    </w:lvl>
    <w:lvl w:ilvl="1" w:tplc="C3BC7AC4" w:tentative="1">
      <w:start w:val="1"/>
      <w:numFmt w:val="bullet"/>
      <w:lvlText w:val="o"/>
      <w:lvlJc w:val="left"/>
      <w:pPr>
        <w:ind w:left="1440" w:hanging="360"/>
      </w:pPr>
      <w:rPr>
        <w:rFonts w:ascii="Courier New" w:hAnsi="Courier New" w:cs="Courier New" w:hint="default"/>
      </w:rPr>
    </w:lvl>
    <w:lvl w:ilvl="2" w:tplc="466AD8BA" w:tentative="1">
      <w:start w:val="1"/>
      <w:numFmt w:val="bullet"/>
      <w:lvlText w:val=""/>
      <w:lvlJc w:val="left"/>
      <w:pPr>
        <w:ind w:left="2160" w:hanging="360"/>
      </w:pPr>
      <w:rPr>
        <w:rFonts w:ascii="Wingdings" w:hAnsi="Wingdings" w:hint="default"/>
      </w:rPr>
    </w:lvl>
    <w:lvl w:ilvl="3" w:tplc="E3DC171E" w:tentative="1">
      <w:start w:val="1"/>
      <w:numFmt w:val="bullet"/>
      <w:lvlText w:val=""/>
      <w:lvlJc w:val="left"/>
      <w:pPr>
        <w:ind w:left="2880" w:hanging="360"/>
      </w:pPr>
      <w:rPr>
        <w:rFonts w:ascii="Symbol" w:hAnsi="Symbol" w:hint="default"/>
      </w:rPr>
    </w:lvl>
    <w:lvl w:ilvl="4" w:tplc="227C393A" w:tentative="1">
      <w:start w:val="1"/>
      <w:numFmt w:val="bullet"/>
      <w:lvlText w:val="o"/>
      <w:lvlJc w:val="left"/>
      <w:pPr>
        <w:ind w:left="3600" w:hanging="360"/>
      </w:pPr>
      <w:rPr>
        <w:rFonts w:ascii="Courier New" w:hAnsi="Courier New" w:cs="Courier New" w:hint="default"/>
      </w:rPr>
    </w:lvl>
    <w:lvl w:ilvl="5" w:tplc="BF2A6260" w:tentative="1">
      <w:start w:val="1"/>
      <w:numFmt w:val="bullet"/>
      <w:lvlText w:val=""/>
      <w:lvlJc w:val="left"/>
      <w:pPr>
        <w:ind w:left="4320" w:hanging="360"/>
      </w:pPr>
      <w:rPr>
        <w:rFonts w:ascii="Wingdings" w:hAnsi="Wingdings" w:hint="default"/>
      </w:rPr>
    </w:lvl>
    <w:lvl w:ilvl="6" w:tplc="6FF6CB12" w:tentative="1">
      <w:start w:val="1"/>
      <w:numFmt w:val="bullet"/>
      <w:lvlText w:val=""/>
      <w:lvlJc w:val="left"/>
      <w:pPr>
        <w:ind w:left="5040" w:hanging="360"/>
      </w:pPr>
      <w:rPr>
        <w:rFonts w:ascii="Symbol" w:hAnsi="Symbol" w:hint="default"/>
      </w:rPr>
    </w:lvl>
    <w:lvl w:ilvl="7" w:tplc="2C60EA24" w:tentative="1">
      <w:start w:val="1"/>
      <w:numFmt w:val="bullet"/>
      <w:lvlText w:val="o"/>
      <w:lvlJc w:val="left"/>
      <w:pPr>
        <w:ind w:left="5760" w:hanging="360"/>
      </w:pPr>
      <w:rPr>
        <w:rFonts w:ascii="Courier New" w:hAnsi="Courier New" w:cs="Courier New" w:hint="default"/>
      </w:rPr>
    </w:lvl>
    <w:lvl w:ilvl="8" w:tplc="FFE0C5F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55"/>
    <w:rsid w:val="001B5055"/>
    <w:rsid w:val="005457ED"/>
    <w:rsid w:val="007E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ACDF"/>
  <w15:docId w15:val="{B0A79751-9007-4E6A-924C-34C99CDB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lt-LT"/>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lt-LT"/>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5457ED"/>
    <w:pPr>
      <w:tabs>
        <w:tab w:val="center" w:pos="4513"/>
        <w:tab w:val="right" w:pos="9026"/>
      </w:tabs>
    </w:pPr>
  </w:style>
  <w:style w:type="character" w:customStyle="1" w:styleId="HeaderChar">
    <w:name w:val="Header Char"/>
    <w:basedOn w:val="DefaultParagraphFont"/>
    <w:link w:val="Header"/>
    <w:uiPriority w:val="99"/>
    <w:rsid w:val="005457ED"/>
    <w:rPr>
      <w:rFonts w:ascii="Cambria" w:eastAsia="Times New Roman" w:hAnsi="Cambria" w:cs="Times New Roman"/>
      <w:sz w:val="24"/>
      <w:szCs w:val="24"/>
    </w:rPr>
  </w:style>
  <w:style w:type="paragraph" w:styleId="Footer">
    <w:name w:val="footer"/>
    <w:basedOn w:val="Normal"/>
    <w:link w:val="FooterChar"/>
    <w:uiPriority w:val="99"/>
    <w:unhideWhenUsed/>
    <w:rsid w:val="005457ED"/>
    <w:pPr>
      <w:tabs>
        <w:tab w:val="center" w:pos="4513"/>
        <w:tab w:val="right" w:pos="9026"/>
      </w:tabs>
    </w:pPr>
  </w:style>
  <w:style w:type="character" w:customStyle="1" w:styleId="FooterChar">
    <w:name w:val="Footer Char"/>
    <w:basedOn w:val="DefaultParagraphFont"/>
    <w:link w:val="Footer"/>
    <w:uiPriority w:val="99"/>
    <w:rsid w:val="005457ED"/>
    <w:rPr>
      <w:rFonts w:ascii="Cambria" w:eastAsia="Times New Roman" w:hAnsi="Cambria" w:cs="Times New Roman"/>
      <w:sz w:val="24"/>
      <w:szCs w:val="24"/>
    </w:rPr>
  </w:style>
  <w:style w:type="paragraph" w:customStyle="1" w:styleId="EASOsenderfooter">
    <w:name w:val="EASO_sender footer"/>
    <w:rsid w:val="005457ED"/>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3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2017-07-04T16:58:00Z</dcterms:modified>
</cp:coreProperties>
</file>